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B1625A">
      <w:pPr>
        <w:spacing w:line="240" w:lineRule="auto" w:after="0" w:before="0"/>
        <w:jc w:val="center"/>
      </w:pPr>
      <w:r>
        <w:rPr>
          <w:rFonts w:ascii="Times New Roman" w:hAnsi="Times New Roman" w:eastAsia="方正小标宋简体"/>
          <w:b w:val="0"/>
          <w:color w:val="000000"/>
          <w:sz w:val="44"/>
        </w:rPr>
        <w:t>慧教智研平台宣介演讲稿</w:t>
      </w:r>
    </w:p>
    <w:p w14:paraId="59327232">
      <w:pPr>
        <w:spacing w:line="240" w:lineRule="auto" w:after="0" w:before="0"/>
        <w:jc w:val="center"/>
      </w:pPr>
      <w:r>
        <w:rPr>
          <w:rFonts w:ascii="Times New Roman" w:hAnsi="Times New Roman" w:eastAsia="楷体"/>
          <w:b w:val="0"/>
          <w:color w:val="000000"/>
          <w:sz w:val="28"/>
        </w:rPr>
        <w:t>（平台宣介 V2.0 配套 · 2026 年 10 月）</w:t>
      </w:r>
    </w:p>
    <w:p w14:paraId="7E1F2DDE">
      <w:pPr>
        <w:spacing w:line="240" w:lineRule="auto" w:after="0" w:before="0"/>
      </w:pPr>
      <w:r>
        <w:rPr>
          <w:rFonts w:ascii="Times New Roman" w:hAnsi="Times New Roman" w:eastAsia="仿宋"/>
          <w:b w:val="0"/>
          <w:color w:val="000000"/>
          <w:sz w:val="32"/>
        </w:rPr>
      </w:r>
    </w:p>
    <w:p w14:paraId="4F2A2422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本稿配套网页版宣介 PPT（共 31 页，文件：慧教智研平台宣介-网页版PPT-v2.0-20261027.html）。建议宣讲时长 18—20 分钟；展台循环可在页面按 A 键自动播放。叙事主线为"缘起（发现问题）→思考（理论建构）→落地（工作实践）→结果（成效反馈）"。</w:t>
      </w:r>
    </w:p>
    <w:p w14:paraId="63874AB0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宣讲提示：第 14—19 页与第 22 页嵌有平台真实截图与直达链接，联网环境下可点击现场打开；第 15 页内置可操作的 4D 推演装置，建议现场拨一拨。</w:t>
      </w:r>
    </w:p>
    <w:p w14:paraId="36740CAA">
      <w:pPr>
        <w:spacing w:lineRule="exact" w:line="560" w:after="0" w:before="0"/>
      </w:pPr>
      <w:r>
        <w:rPr>
          <w:rFonts w:ascii="Times New Roman" w:hAnsi="Times New Roman" w:eastAsia="黑体"/>
          <w:b w:val="0"/>
          <w:color w:val="000000"/>
          <w:sz w:val="32"/>
        </w:rPr>
        <w:t>一、开场（第 1—2 页，约 1.5 分钟）</w:t>
      </w:r>
    </w:p>
    <w:p w14:paraId="7189051E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各位老师，大家好。今天我汇报的主题，不是“我们又做了一个工具”，而是我们平台的一句主张——把重复交给 AI，把创造还给教师。</w:t>
      </w:r>
    </w:p>
    <w:p w14:paraId="622A86FE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慧教智研是面向高校教师的一站式 AIGC 智能平台。这次宣介有一个重要的新消息：平台现在有两种服务方式——浏览器里即开即用的在线服务，和全新上线的桌面版 1.3.3。封面大家看到的就是桌面版的真实工作台界面。</w:t>
      </w:r>
    </w:p>
    <w:p w14:paraId="60E8944E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今天我不按功能清单念，而是按一项教学研究的展开方式，回答四个问题：课堂怎么了？学习科学怎么说？平台怎么做？证据在哪里？——缘起、思考、落地、结果，四个章节一条主线。</w:t>
      </w:r>
    </w:p>
    <w:p w14:paraId="1E6B5BB4">
      <w:pPr>
        <w:spacing w:lineRule="exact" w:line="560" w:after="0" w:before="0"/>
      </w:pPr>
      <w:r>
        <w:rPr>
          <w:rFonts w:ascii="Times New Roman" w:hAnsi="Times New Roman" w:eastAsia="黑体"/>
          <w:b w:val="0"/>
          <w:color w:val="000000"/>
          <w:sz w:val="32"/>
        </w:rPr>
        <w:t>二、第一章 缘起：发现问题（第 3—6 页，约 3 分钟）</w:t>
      </w:r>
    </w:p>
    <w:p w14:paraId="757FA2A8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先看课堂。大模型把“知道”变成免费品之后，课堂还剩下什么？我们在听课、评课中反复观察到六种“时代病”：3P 课堂——老师放 PPT、学生拍 PPT、考前背 PPT，知识四次位移、没有一次化学反应；单向灌输；虚假互动；人机对抗——老师用 AI 防、学生用 AI 写，课堂变成两个 AI 的军备竞赛；实训演示化；一卷定音。病根不在老师讲得不够好，而在课堂的主营业务仍然是知识传递。</w:t>
      </w:r>
    </w:p>
    <w:p w14:paraId="7DC2AC3E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再看教师。建一门课有三重痛：成果散、门槛高、维护难。AI 时代又添三重难：工具碎片化——文案在 A、排版在 B、发布在 C；产出不敢用——没有审阅、没有留痕；数据有顾虑——讲义真题上云，边界不清。教师需要的不是更多工具，而是一条从“想法”到“上线”的完整链路。</w:t>
      </w:r>
    </w:p>
    <w:p w14:paraId="792B9FAE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这不是我们一家的焦虑。2025 年 1 月，中共中央、国务院印发《教育强国建设规划纲要（2024—2035 年）》，提出“促进人工智能助力教育变革”；2026 年 4 月，教育部等五部门印发《“人工智能+教育”行动计划》，明确提出多模态教学资源自动生成、人机共创备课、试点研发数字教材。国家已经把“人机共创”写进路线图，我们要做的，是把政策语言翻译成一门门能用的课。</w:t>
      </w:r>
    </w:p>
    <w:p w14:paraId="6ECD1332">
      <w:pPr>
        <w:spacing w:lineRule="exact" w:line="560" w:after="0" w:before="0"/>
      </w:pPr>
      <w:r>
        <w:rPr>
          <w:rFonts w:ascii="Times New Roman" w:hAnsi="Times New Roman" w:eastAsia="黑体"/>
          <w:b w:val="0"/>
          <w:color w:val="000000"/>
          <w:sz w:val="32"/>
        </w:rPr>
        <w:t>三、第二章 思考：理论建构（第 7—11 页，约 4.5 分钟）</w:t>
      </w:r>
    </w:p>
    <w:p w14:paraId="3C1538EE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技术平台不缺功能，缺的是“为什么这样设计”。慧教智研的每一项机制，都能回溯到一条经得起检验的学习科学原理。四根支柱：</w:t>
      </w:r>
    </w:p>
    <w:p w14:paraId="42015744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其一，做中学——杜威 1916 年《民主主义与教育》，以及陶行知先生的“教学做合一”。其二，主动学习的证据——Freeman 等人 2014 年在 PNAS 发表的元分析，汇总 225 项研究，证实主动学习显著提升学业表现、降低挂科率。“少讲多做”不是口号，是证据结论。其三，多模态学习与认知负荷——梅耶 2001、斯威勒 1988：双通道要协同，负荷要有度。其四，对齐与形成性评价——比格斯的建构性对齐、Black 与 Wiliam 的形成性评价：目标、活动、评价必须一致，评价即学习。</w:t>
      </w:r>
    </w:p>
    <w:p w14:paraId="521B225A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这里我想特别展开陶行知先生的思想（第 9 页）。“教学做合一”的重心在于“做”——“做”具有行动、思想与新价值之产生三项特征，是“在劳力上劳心”。把这句话搬到 AI 时代，分工一目了然：教授知识的基本功能——微课、互动课堂、自测、答疑——可以交给 AI 和平台承担；而“做”的设计——任务、情境、判断、评价——必须由教师完成。AI 出“劳力”，教师出“劳心”。这就是我们那句主张的学理出处。</w:t>
      </w:r>
    </w:p>
    <w:p w14:paraId="34BFA436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从理论到产品，我们做了四条翻译：做中学翻译成“少讲多做”，落地为互动课堂里每个知识点的可操作对象；多模态翻译成三件套同源——平台管结构、课堂管操作、教材管阅读；建构性对齐翻译成先对齐再生成；形成性评价翻译成量规驱动、反馈即刻。</w:t>
      </w:r>
    </w:p>
    <w:p w14:paraId="47622E94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评价环节我们专门设计了 AI 评价模型（第 11 页）：规约层把评价写成可判定的量规与双向细目表；编排层用多模型对抗审阅，交叉验证降低单一模型偏差——这借鉴的是教育测量里“多评分者一致性”的思想；裁决层是教师终审，每个环节可确认、可驳回、可回滚，全程留痕。一句话：AI 参与评价，但不拥有裁决权。同时平台按《人工智能生成合成内容标识办法》和国家标准 GB 45438-2025 为 AI 生成内容添加显式、隐式标识。</w:t>
      </w:r>
    </w:p>
    <w:p w14:paraId="335154FA">
      <w:pPr>
        <w:spacing w:lineRule="exact" w:line="560" w:after="0" w:before="0"/>
      </w:pPr>
      <w:r>
        <w:rPr>
          <w:rFonts w:ascii="Times New Roman" w:hAnsi="Times New Roman" w:eastAsia="黑体"/>
          <w:b w:val="0"/>
          <w:color w:val="000000"/>
          <w:sz w:val="32"/>
        </w:rPr>
        <w:t>四、第三章 落地：工作实践（第 12—22 页，约 7.5 分钟）</w:t>
      </w:r>
    </w:p>
    <w:p w14:paraId="20ED1BE4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理论要在真实工作流里兑现。落地的关键词是双引擎（第 13 页）：左边是在线服务平台，浏览器直达、559 项技能生态、内外网双入口；右边是全新桌面版 1.3.3——本地优先、数据不出机、五大教学专区、113 项内置技能、断网也能制作与上课。同一套能力，两种服务方式；桌面上做的成果，一键发布到线上。</w:t>
      </w:r>
    </w:p>
    <w:p w14:paraId="6F5A6570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平台的核心产物观（第 14 页）：不是生成“一堂课”，而是把一门课的教学平台、互动课堂、数字教材一次做完——三者同源同数据，改一处三处同步。这一页三张截图都是平台真实页面，联网环境下点卡片下方链接可以当场打开。</w:t>
      </w:r>
    </w:p>
    <w:p w14:paraId="706839B6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第 15 页请大家动手玩一下：这是一台复利增长 4D 推演装置——三维空间加上第四维时间。拨动利率，十根柱子重新生长；拖动或播放时间轴，看复利与单利的差距一年年拉开。课堂里的每个抽象知识点，都应该有这样一个可拨弄的对象。同款装置还有 3D 磁铁穿线圈、供求双平面迁移、马尔可夫稳态推演，都在互动课堂里。</w:t>
      </w:r>
    </w:p>
    <w:p w14:paraId="5979E3A2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第 16—19 页是案例实证，全部嵌着真实界面、点击卡片可当场打开：互动课堂怎么“活”起来——白板推演、AI 教师与 AI 同学、随堂测即时判分；四个会计专业特例——复利终值 3D 曲面（演示型）、本量利盈亏平衡（实验型）、企业并购与会计融合（情景式）、OPC 一人一公司（项目式）；AIGC 财务场景应用教程展示专属课程平台如何按“这间教室”的要求定制；《基础会计》数字教材——正文即界面、扫码即学，是真正的“行走的课堂”。</w:t>
      </w:r>
    </w:p>
    <w:p w14:paraId="501EE450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第 20 页是桌面版深潜：真实工作台界面、五大专区、四步工作流，还有正式上线的教师使用手册——六个核心模块，在线阅读也可下载 DOCX。第 21 页是两种建课模式：规范要求强走工作流（七个 AI 角色接力、每步教师确认）、个性化创新走智能体（自主规划、实时思考、随时插话）；无论哪条路，教师都有四道关：主题确认、结构确认、内容审读、终审发布。第 22 页是发布链路：内网部署、公网专属域名、随时分享——一个链接，学生、同事、评审专家打开就看。</w:t>
      </w:r>
    </w:p>
    <w:p w14:paraId="7D88F740">
      <w:pPr>
        <w:spacing w:lineRule="exact" w:line="560" w:after="0" w:before="0"/>
      </w:pPr>
      <w:r>
        <w:rPr>
          <w:rFonts w:ascii="Times New Roman" w:hAnsi="Times New Roman" w:eastAsia="黑体"/>
          <w:b w:val="0"/>
          <w:color w:val="000000"/>
          <w:sz w:val="32"/>
        </w:rPr>
        <w:t>五、第四章 结果：成效反馈（第 23—28 页，约 3.5 分钟）</w:t>
      </w:r>
    </w:p>
    <w:p w14:paraId="1926379A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我们不以“生成速度”论高低，以“教师敢不敢拿去上课”为验收。现在平台上已经有：12 门课程、11 个互动课堂、6 部数字教材、559 项可调用技能、11 套课程模板、8 个模型接入位（第 24 页）。这里我必须声明口径：这些数据来自平台后台的内部全量计数，截至 2026 年 10 月 21 日，不是官方认定；课程建设层级是平台展示标注，具体认定以正式文件为准。</w:t>
      </w:r>
    </w:p>
    <w:p w14:paraId="49B1146C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深度证据看样板课（第 25 页）：《AIGC 财务场景应用教程》的 OPC 实训，一人一公司、17 周完成一个商业闭环，17 关任务、51 项子任务、6 份实验报告，三条军规——验、留、辩；不设期末纸笔考试，全部过程性考核。右边是 559 项技能的生态结构：教学 323、科研 125、办公 111。</w:t>
      </w:r>
    </w:p>
    <w:p w14:paraId="7F41F470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成效不是终点（第 26 页）。我们有两个改进闭环：课堂内环——随堂测、量规、学情看板形成证据，诊断堵点、迭代教学；平台外环——使用反馈驱动版本迭代，桌面版从 1.3.1 到 1.3.3，完成了 75 项全链路自检。还有一点请大家注意：您正在看的这份宣介 PPT 本身，就是平台方法论的一次产出——单文件离线、公文级信息层级、交付前完成内容科学性与形式审查。您看到的播放效果，就是平台的产出标准。</w:t>
      </w:r>
    </w:p>
    <w:p w14:paraId="70193264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展望（第 27 页）：2026 年第四季度开放课程包与共创校试点，2027 年上半年联合教研与跨校课堂，2027 年下半年共建标准与联盟机制——从一门课，到一张网。</w:t>
      </w:r>
    </w:p>
    <w:p w14:paraId="6E7E151C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结语（第 28 页）：把重复交给 AI，把创造还给教师。AI 替得掉“重复”，替不掉“在场”。两个入口都在这里：在线体验 v3.zgzk.me，桌面版下载即刻可用。谢谢各位，欢迎交流与试用。</w:t>
      </w:r>
    </w:p>
    <w:p w14:paraId="57BBB53A">
      <w:pPr>
        <w:spacing w:lineRule="exact" w:line="560" w:after="0" w:before="0"/>
      </w:pPr>
      <w:r>
        <w:rPr>
          <w:rFonts w:ascii="Times New Roman" w:hAnsi="Times New Roman" w:eastAsia="黑体"/>
          <w:b w:val="0"/>
          <w:color w:val="000000"/>
          <w:sz w:val="32"/>
        </w:rPr>
        <w:t>六、附录与问答备查（第 29—31 页）</w:t>
      </w:r>
    </w:p>
    <w:p w14:paraId="3A3F4DD2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第 29 页是政策规范与平台口径，第 30—31 页是全部理论与文献的 GB/T 7714 著录。被追问数据与出处时，直接翻到这里——每一句断言，都有出处。</w:t>
      </w:r>
    </w:p>
    <w:p w14:paraId="6FC74670">
      <w:pPr>
        <w:spacing w:lineRule="exact" w:line="560" w:after="0" w:before="0"/>
      </w:pPr>
      <w:r>
        <w:rPr>
          <w:rFonts w:ascii="Times New Roman" w:hAnsi="Times New Roman" w:eastAsia="黑体"/>
          <w:b w:val="0"/>
          <w:color w:val="000000"/>
          <w:sz w:val="32"/>
        </w:rPr>
        <w:t>七、宣讲备忘</w:t>
      </w:r>
    </w:p>
    <w:p w14:paraId="4D5B9B50">
      <w:pPr>
        <w:spacing w:lineRule="exact" w:line="560" w:after="0" w:before="0"/>
      </w:pPr>
      <w:r>
        <w:rPr>
          <w:rFonts w:ascii="Times New Roman" w:hAnsi="Times New Roman" w:eastAsia="楷体"/>
          <w:b/>
          <w:color w:val="000000"/>
          <w:sz w:val="32"/>
        </w:rPr>
        <w:t>（一）联网演示</w:t>
      </w:r>
    </w:p>
    <w:p w14:paraId="48F53258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第 13 页双引擎入口、第 14—19 页三件套与案例卡片链接、第 22 页发布中心、第 28 页结语入口，均可点击直达；离线时正常播放，仅链接打不开。</w:t>
      </w:r>
    </w:p>
    <w:p w14:paraId="36F1CBAA">
      <w:pPr>
        <w:spacing w:lineRule="exact" w:line="560" w:after="0" w:before="0"/>
      </w:pPr>
      <w:r>
        <w:rPr>
          <w:rFonts w:ascii="Times New Roman" w:hAnsi="Times New Roman" w:eastAsia="楷体"/>
          <w:b/>
          <w:color w:val="000000"/>
          <w:sz w:val="32"/>
        </w:rPr>
        <w:t>（二）4D 装置演示（第 15 页）</w:t>
      </w:r>
    </w:p>
    <w:p w14:paraId="2B21C4E4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先拨利率（5% / 10% / 15%），再点“播放时间轴”，让柱子自己长一遍；一句话收束：“规律不是听会的，是拨出来的。”</w:t>
      </w:r>
    </w:p>
    <w:p w14:paraId="38B3D8F2">
      <w:pPr>
        <w:spacing w:lineRule="exact" w:line="560" w:after="0" w:before="0"/>
      </w:pPr>
      <w:r>
        <w:rPr>
          <w:rFonts w:ascii="Times New Roman" w:hAnsi="Times New Roman" w:eastAsia="楷体"/>
          <w:b/>
          <w:color w:val="000000"/>
          <w:sz w:val="32"/>
        </w:rPr>
        <w:t>（三）口径纪律</w:t>
      </w:r>
    </w:p>
    <w:p w14:paraId="7C9CC556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第 24 页数字必须带“内部全量计数、非官方认定”口径念出；层级标注一律以正式认定文件为准。</w:t>
      </w:r>
    </w:p>
    <w:p w14:paraId="3D29A020">
      <w:pPr>
        <w:spacing w:lineRule="exact" w:line="560" w:after="0" w:before="0"/>
      </w:pPr>
      <w:r>
        <w:rPr>
          <w:rFonts w:ascii="Times New Roman" w:hAnsi="Times New Roman" w:eastAsia="楷体"/>
          <w:b/>
          <w:color w:val="000000"/>
          <w:sz w:val="32"/>
        </w:rPr>
        <w:t>（四）时间控制</w:t>
      </w:r>
    </w:p>
    <w:p w14:paraId="4E9DC9C0">
      <w:pPr>
        <w:spacing w:lineRule="exact" w:line="560" w:after="0" w:before="0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总时长 18—20 分钟；若只有 12 分钟，跳过第 9 页展开与第 20 页细讲，各用一句话带过。</w:t>
      </w:r>
    </w:p>
    <w:p w14:paraId="7300201C">
      <w:pPr>
        <w:spacing w:lineRule="exact" w:line="560" w:after="0" w:before="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慧教智研建设团队</w:t>
      </w:r>
    </w:p>
    <w:p w14:paraId="6CCC4D74">
      <w:pPr>
        <w:spacing w:lineRule="exact" w:line="560" w:after="0" w:before="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2026 年 10 月 27 日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238B01B8"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2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55EF2FA8">
    <w:pPr>
      <w:pStyle w:val="Header"/>
      <w:jc w:val="center"/>
    </w:pPr>
    <w:r>
      <w:rPr>
        <w:rFonts w:ascii="Times New Roman" w:hAnsi="Times New Roman" w:eastAsia="仿宋"/>
        <w:b w:val="0"/>
        <w:color w:val="000000"/>
        <w:sz w:val="18"/>
      </w:rPr>
      <w:t>慧教智研平台宣介演讲稿（V2.0）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